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F60" w:rsidRDefault="00371F60" w:rsidP="00371F60"/>
    <w:tbl>
      <w:tblPr>
        <w:tblW w:w="84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6"/>
        <w:gridCol w:w="291"/>
        <w:gridCol w:w="5307"/>
      </w:tblGrid>
      <w:tr w:rsidR="00451AFD" w:rsidTr="00B0148B">
        <w:tc>
          <w:tcPr>
            <w:tcW w:w="2836" w:type="dxa"/>
            <w:hideMark/>
          </w:tcPr>
          <w:p w:rsidR="00451AFD" w:rsidRDefault="00451AFD" w:rsidP="00B0148B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SİRKÜLER TARİHİ</w:t>
            </w:r>
          </w:p>
        </w:tc>
        <w:tc>
          <w:tcPr>
            <w:tcW w:w="291" w:type="dxa"/>
            <w:hideMark/>
          </w:tcPr>
          <w:p w:rsidR="00451AFD" w:rsidRDefault="00451AFD" w:rsidP="00B0148B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5307" w:type="dxa"/>
            <w:hideMark/>
          </w:tcPr>
          <w:p w:rsidR="00451AFD" w:rsidRDefault="001A6DB9" w:rsidP="00B0148B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02/01/2017</w:t>
            </w:r>
          </w:p>
        </w:tc>
      </w:tr>
      <w:tr w:rsidR="00451AFD" w:rsidTr="00B0148B">
        <w:tc>
          <w:tcPr>
            <w:tcW w:w="2836" w:type="dxa"/>
            <w:hideMark/>
          </w:tcPr>
          <w:p w:rsidR="00451AFD" w:rsidRDefault="00451AFD" w:rsidP="00B0148B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SİRKÜLER SAYI</w:t>
            </w:r>
          </w:p>
        </w:tc>
        <w:tc>
          <w:tcPr>
            <w:tcW w:w="291" w:type="dxa"/>
            <w:hideMark/>
          </w:tcPr>
          <w:p w:rsidR="00451AFD" w:rsidRDefault="00451AFD" w:rsidP="00B0148B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5307" w:type="dxa"/>
            <w:hideMark/>
          </w:tcPr>
          <w:p w:rsidR="00451AFD" w:rsidRDefault="001A6DB9" w:rsidP="00B0148B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2017</w:t>
            </w:r>
            <w:r w:rsidR="00451AFD">
              <w:rPr>
                <w:rFonts w:ascii="Times New Roman" w:hAnsi="Times New Roman" w:cs="Times New Roman"/>
                <w:b/>
              </w:rPr>
              <w:t>/0</w:t>
            </w:r>
            <w:r w:rsidR="00234BD7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451AFD" w:rsidTr="00B0148B">
        <w:tc>
          <w:tcPr>
            <w:tcW w:w="2836" w:type="dxa"/>
            <w:hideMark/>
          </w:tcPr>
          <w:p w:rsidR="00451AFD" w:rsidRDefault="00451AFD" w:rsidP="00B0148B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291" w:type="dxa"/>
            <w:hideMark/>
          </w:tcPr>
          <w:p w:rsidR="00451AFD" w:rsidRDefault="00451AFD" w:rsidP="00B0148B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5307" w:type="dxa"/>
            <w:vAlign w:val="center"/>
            <w:hideMark/>
          </w:tcPr>
          <w:p w:rsidR="00451AFD" w:rsidRPr="00393FCF" w:rsidRDefault="001A6DB9" w:rsidP="00B0148B">
            <w:pPr>
              <w:pStyle w:val="NormalWeb"/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color w:val="000000"/>
              </w:rPr>
              <w:t>2017 takvim yılı gelirlerinin vergilendirilmesine esas Gelir Vergisi Tarifesi</w:t>
            </w:r>
          </w:p>
        </w:tc>
      </w:tr>
    </w:tbl>
    <w:p w:rsidR="001A6DB9" w:rsidRDefault="001A6DB9" w:rsidP="00451AFD">
      <w:pPr>
        <w:ind w:left="426" w:hanging="426"/>
        <w:rPr>
          <w:rFonts w:ascii="Times New Roman" w:eastAsia="Times New Roman" w:hAnsi="Times New Roman" w:cs="Times New Roman"/>
          <w:b/>
          <w:bCs/>
          <w:kern w:val="36"/>
          <w:lang w:eastAsia="tr-TR"/>
        </w:rPr>
      </w:pPr>
    </w:p>
    <w:p w:rsidR="00B94969" w:rsidRDefault="00B94969" w:rsidP="00451AFD">
      <w:pPr>
        <w:ind w:left="426" w:hanging="426"/>
        <w:rPr>
          <w:rFonts w:ascii="Times New Roman" w:eastAsia="Times New Roman" w:hAnsi="Times New Roman" w:cs="Times New Roman"/>
          <w:b/>
          <w:bCs/>
          <w:kern w:val="36"/>
          <w:lang w:eastAsia="tr-TR"/>
        </w:rPr>
      </w:pPr>
    </w:p>
    <w:p w:rsidR="001A6DB9" w:rsidRPr="0057294D" w:rsidRDefault="001A6DB9" w:rsidP="0057294D">
      <w:pPr>
        <w:pStyle w:val="NormalWeb"/>
        <w:spacing w:line="276" w:lineRule="auto"/>
        <w:ind w:firstLine="708"/>
        <w:jc w:val="both"/>
        <w:rPr>
          <w:color w:val="000000"/>
        </w:rPr>
      </w:pPr>
      <w:r w:rsidRPr="0057294D">
        <w:rPr>
          <w:color w:val="000000"/>
        </w:rPr>
        <w:t>Gerçek kişilerin gelirleri Gelir Vergisi Kanunu’nun 103 üncü maddesinde yer alan tarifeye göre vergilendirilmektedir.</w:t>
      </w:r>
    </w:p>
    <w:p w:rsidR="001A6DB9" w:rsidRPr="0057294D" w:rsidRDefault="001A6DB9" w:rsidP="0057294D">
      <w:pPr>
        <w:pStyle w:val="NormalWeb"/>
        <w:spacing w:line="276" w:lineRule="auto"/>
        <w:ind w:firstLine="708"/>
        <w:jc w:val="both"/>
        <w:rPr>
          <w:color w:val="000000"/>
        </w:rPr>
      </w:pPr>
      <w:bookmarkStart w:id="0" w:name="_GoBack"/>
      <w:bookmarkEnd w:id="0"/>
      <w:r w:rsidRPr="0057294D">
        <w:rPr>
          <w:color w:val="000000"/>
        </w:rPr>
        <w:t xml:space="preserve">Maliye Bakanlığı, 27 Aralık 2016 tarih ve 29931 sayılı Resmi </w:t>
      </w:r>
      <w:proofErr w:type="spellStart"/>
      <w:r w:rsidRPr="0057294D">
        <w:rPr>
          <w:color w:val="000000"/>
        </w:rPr>
        <w:t>Gazete’de</w:t>
      </w:r>
      <w:proofErr w:type="spellEnd"/>
      <w:r w:rsidRPr="0057294D">
        <w:rPr>
          <w:color w:val="000000"/>
        </w:rPr>
        <w:t xml:space="preserve"> yayımladığı 296 Seri </w:t>
      </w:r>
      <w:proofErr w:type="spellStart"/>
      <w:r w:rsidRPr="0057294D">
        <w:rPr>
          <w:color w:val="000000"/>
        </w:rPr>
        <w:t>No’lu</w:t>
      </w:r>
      <w:proofErr w:type="spellEnd"/>
      <w:r w:rsidRPr="0057294D">
        <w:rPr>
          <w:color w:val="000000"/>
        </w:rPr>
        <w:t xml:space="preserve"> Gelir Vergisi Genel Tebliği ile 2017 takvim yılı gelirlerinin vergilendirilmesinde kullanılacak “Gelir Vergisi </w:t>
      </w:r>
      <w:proofErr w:type="spellStart"/>
      <w:r w:rsidRPr="0057294D">
        <w:rPr>
          <w:color w:val="000000"/>
        </w:rPr>
        <w:t>Tarifesi”ni</w:t>
      </w:r>
      <w:proofErr w:type="spellEnd"/>
      <w:r w:rsidRPr="0057294D">
        <w:rPr>
          <w:color w:val="000000"/>
        </w:rPr>
        <w:t xml:space="preserve"> aşağıdaki şekilde belirlemiştir:</w:t>
      </w:r>
    </w:p>
    <w:tbl>
      <w:tblPr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30"/>
        <w:gridCol w:w="700"/>
      </w:tblGrid>
      <w:tr w:rsidR="001A6DB9" w:rsidRPr="008853BB" w:rsidTr="00C02F8B">
        <w:trPr>
          <w:trHeight w:val="255"/>
        </w:trPr>
        <w:tc>
          <w:tcPr>
            <w:tcW w:w="7630" w:type="dxa"/>
            <w:shd w:val="clear" w:color="auto" w:fill="auto"/>
            <w:noWrap/>
            <w:vAlign w:val="center"/>
          </w:tcPr>
          <w:p w:rsidR="001A6DB9" w:rsidRPr="008853BB" w:rsidRDefault="001A6DB9" w:rsidP="00C02F8B">
            <w:pPr>
              <w:spacing w:after="120"/>
            </w:pPr>
            <w:r w:rsidRPr="008853BB">
              <w:t>1</w:t>
            </w:r>
            <w:r>
              <w:t>3</w:t>
            </w:r>
            <w:r w:rsidRPr="008853BB">
              <w:t>.</w:t>
            </w:r>
            <w:r>
              <w:t>0</w:t>
            </w:r>
            <w:r w:rsidRPr="008853BB">
              <w:t xml:space="preserve">00 TL’ye kadar </w:t>
            </w:r>
          </w:p>
        </w:tc>
        <w:tc>
          <w:tcPr>
            <w:tcW w:w="700" w:type="dxa"/>
            <w:vAlign w:val="bottom"/>
          </w:tcPr>
          <w:p w:rsidR="001A6DB9" w:rsidRPr="008853BB" w:rsidRDefault="001A6DB9" w:rsidP="00C02F8B">
            <w:pPr>
              <w:spacing w:after="120"/>
              <w:jc w:val="center"/>
            </w:pPr>
            <w:r w:rsidRPr="008853BB">
              <w:t>% 15</w:t>
            </w:r>
          </w:p>
        </w:tc>
      </w:tr>
      <w:tr w:rsidR="001A6DB9" w:rsidRPr="00963BC4" w:rsidTr="00C02F8B">
        <w:trPr>
          <w:trHeight w:val="255"/>
        </w:trPr>
        <w:tc>
          <w:tcPr>
            <w:tcW w:w="7630" w:type="dxa"/>
            <w:shd w:val="clear" w:color="auto" w:fill="auto"/>
            <w:noWrap/>
            <w:vAlign w:val="center"/>
          </w:tcPr>
          <w:p w:rsidR="001A6DB9" w:rsidRPr="00963BC4" w:rsidRDefault="001A6DB9" w:rsidP="00C02F8B">
            <w:pPr>
              <w:spacing w:after="120"/>
              <w:rPr>
                <w:highlight w:val="darkGray"/>
              </w:rPr>
            </w:pPr>
            <w:r>
              <w:t>30</w:t>
            </w:r>
            <w:r w:rsidRPr="008853BB">
              <w:t>.000 TL’nin 1</w:t>
            </w:r>
            <w:r>
              <w:t>3</w:t>
            </w:r>
            <w:r w:rsidRPr="008853BB">
              <w:t>.</w:t>
            </w:r>
            <w:r>
              <w:t>0</w:t>
            </w:r>
            <w:r w:rsidRPr="008853BB">
              <w:t>00 TL’</w:t>
            </w:r>
            <w:r>
              <w:t>si için 1.95</w:t>
            </w:r>
            <w:r w:rsidRPr="008853BB">
              <w:t>0 TL, fazlası</w:t>
            </w:r>
          </w:p>
        </w:tc>
        <w:tc>
          <w:tcPr>
            <w:tcW w:w="700" w:type="dxa"/>
            <w:vAlign w:val="bottom"/>
          </w:tcPr>
          <w:p w:rsidR="001A6DB9" w:rsidRPr="00963BC4" w:rsidRDefault="001A6DB9" w:rsidP="00C02F8B">
            <w:pPr>
              <w:spacing w:after="120"/>
              <w:jc w:val="center"/>
              <w:rPr>
                <w:highlight w:val="darkGray"/>
              </w:rPr>
            </w:pPr>
            <w:r w:rsidRPr="008853BB">
              <w:t>% 20</w:t>
            </w:r>
          </w:p>
        </w:tc>
      </w:tr>
      <w:tr w:rsidR="001A6DB9" w:rsidRPr="00963BC4" w:rsidTr="00C02F8B">
        <w:trPr>
          <w:trHeight w:val="255"/>
        </w:trPr>
        <w:tc>
          <w:tcPr>
            <w:tcW w:w="7630" w:type="dxa"/>
            <w:shd w:val="clear" w:color="auto" w:fill="auto"/>
            <w:noWrap/>
            <w:vAlign w:val="center"/>
          </w:tcPr>
          <w:p w:rsidR="001A6DB9" w:rsidRPr="00963BC4" w:rsidRDefault="001A6DB9" w:rsidP="00C02F8B">
            <w:pPr>
              <w:spacing w:after="120"/>
              <w:rPr>
                <w:highlight w:val="darkGray"/>
              </w:rPr>
            </w:pPr>
            <w:r>
              <w:t>70</w:t>
            </w:r>
            <w:r w:rsidRPr="008853BB">
              <w:t>.000 TL’</w:t>
            </w:r>
            <w:r>
              <w:t>nin 30</w:t>
            </w:r>
            <w:r w:rsidRPr="008853BB">
              <w:t>.000 TL’si için 5.</w:t>
            </w:r>
            <w:r>
              <w:t>35</w:t>
            </w:r>
            <w:r w:rsidRPr="008853BB">
              <w:t xml:space="preserve">0 TL ( </w:t>
            </w:r>
            <w:r>
              <w:t>ücret gelirlerinde 110.000 TL’nin 30</w:t>
            </w:r>
            <w:r w:rsidRPr="008853BB">
              <w:t>.000 TL’si için 5.</w:t>
            </w:r>
            <w:r>
              <w:t>35</w:t>
            </w:r>
            <w:r w:rsidRPr="008853BB">
              <w:t>0 TL ), fazlası</w:t>
            </w:r>
          </w:p>
        </w:tc>
        <w:tc>
          <w:tcPr>
            <w:tcW w:w="700" w:type="dxa"/>
            <w:vAlign w:val="bottom"/>
          </w:tcPr>
          <w:p w:rsidR="001A6DB9" w:rsidRPr="00963BC4" w:rsidRDefault="001A6DB9" w:rsidP="00C02F8B">
            <w:pPr>
              <w:spacing w:after="120"/>
              <w:jc w:val="center"/>
              <w:rPr>
                <w:highlight w:val="darkGray"/>
              </w:rPr>
            </w:pPr>
            <w:r w:rsidRPr="008853BB">
              <w:t>% 27</w:t>
            </w:r>
          </w:p>
        </w:tc>
      </w:tr>
      <w:tr w:rsidR="001A6DB9" w:rsidRPr="00963BC4" w:rsidTr="00C02F8B">
        <w:trPr>
          <w:trHeight w:val="255"/>
        </w:trPr>
        <w:tc>
          <w:tcPr>
            <w:tcW w:w="7630" w:type="dxa"/>
            <w:shd w:val="clear" w:color="auto" w:fill="auto"/>
            <w:noWrap/>
            <w:vAlign w:val="center"/>
          </w:tcPr>
          <w:p w:rsidR="001A6DB9" w:rsidRPr="00963BC4" w:rsidRDefault="001A6DB9" w:rsidP="00C02F8B">
            <w:pPr>
              <w:spacing w:after="120"/>
              <w:rPr>
                <w:highlight w:val="darkGray"/>
              </w:rPr>
            </w:pPr>
            <w:r>
              <w:t>70</w:t>
            </w:r>
            <w:r w:rsidRPr="008853BB">
              <w:t>.000 TL</w:t>
            </w:r>
            <w:r>
              <w:t>’den fazlasının 70</w:t>
            </w:r>
            <w:r w:rsidRPr="008853BB">
              <w:t>.000 TL’</w:t>
            </w:r>
            <w:r>
              <w:t>si için 16</w:t>
            </w:r>
            <w:r w:rsidRPr="008853BB">
              <w:t>.</w:t>
            </w:r>
            <w:r>
              <w:t>15</w:t>
            </w:r>
            <w:r w:rsidRPr="008853BB">
              <w:t>0 TL ( ücret gelirler</w:t>
            </w:r>
            <w:r>
              <w:t>inde 110</w:t>
            </w:r>
            <w:r w:rsidRPr="008853BB">
              <w:t>.000 TL’d</w:t>
            </w:r>
            <w:r>
              <w:t>en fazlasının 110.000 TL’si için 26</w:t>
            </w:r>
            <w:r w:rsidRPr="008853BB">
              <w:t>.</w:t>
            </w:r>
            <w:r>
              <w:t>95</w:t>
            </w:r>
            <w:r w:rsidRPr="008853BB">
              <w:t>0 TL ), fazlası</w:t>
            </w:r>
          </w:p>
        </w:tc>
        <w:tc>
          <w:tcPr>
            <w:tcW w:w="700" w:type="dxa"/>
            <w:vAlign w:val="bottom"/>
          </w:tcPr>
          <w:p w:rsidR="001A6DB9" w:rsidRPr="00963BC4" w:rsidRDefault="001A6DB9" w:rsidP="00C02F8B">
            <w:pPr>
              <w:spacing w:after="120"/>
              <w:jc w:val="center"/>
              <w:rPr>
                <w:highlight w:val="darkGray"/>
              </w:rPr>
            </w:pPr>
            <w:r w:rsidRPr="008853BB">
              <w:t>% 35</w:t>
            </w:r>
          </w:p>
        </w:tc>
      </w:tr>
    </w:tbl>
    <w:p w:rsidR="001A6DB9" w:rsidRDefault="001A6DB9" w:rsidP="00451AFD">
      <w:pPr>
        <w:ind w:left="426" w:hanging="426"/>
        <w:rPr>
          <w:rFonts w:ascii="Times New Roman" w:eastAsia="Times New Roman" w:hAnsi="Times New Roman" w:cs="Times New Roman"/>
          <w:b/>
          <w:bCs/>
          <w:kern w:val="36"/>
          <w:lang w:eastAsia="tr-TR"/>
        </w:rPr>
      </w:pPr>
    </w:p>
    <w:p w:rsidR="0075285C" w:rsidRDefault="00451AFD" w:rsidP="00451AFD">
      <w:pPr>
        <w:ind w:left="426" w:hanging="426"/>
        <w:rPr>
          <w:rFonts w:ascii="Times New Roman" w:eastAsia="Times New Roman" w:hAnsi="Times New Roman" w:cs="Times New Roman"/>
          <w:b/>
          <w:bCs/>
          <w:kern w:val="36"/>
          <w:lang w:eastAsia="tr-TR"/>
        </w:rPr>
      </w:pPr>
      <w:r w:rsidRPr="00917D10">
        <w:rPr>
          <w:rFonts w:ascii="Times New Roman" w:eastAsia="Times New Roman" w:hAnsi="Times New Roman" w:cs="Times New Roman"/>
          <w:b/>
          <w:bCs/>
          <w:kern w:val="36"/>
          <w:lang w:eastAsia="tr-TR"/>
        </w:rPr>
        <w:t>Saygılarımızla,</w:t>
      </w:r>
    </w:p>
    <w:p w:rsidR="00C06156" w:rsidRPr="00451AFD" w:rsidRDefault="00C06156" w:rsidP="00451AFD">
      <w:pPr>
        <w:ind w:left="426" w:hanging="426"/>
        <w:rPr>
          <w:rFonts w:ascii="Times New Roman" w:eastAsia="Times New Roman" w:hAnsi="Times New Roman" w:cs="Times New Roman"/>
          <w:b/>
          <w:bCs/>
          <w:kern w:val="36"/>
          <w:lang w:eastAsia="tr-TR"/>
        </w:rPr>
      </w:pPr>
      <w:r>
        <w:rPr>
          <w:rFonts w:ascii="Times New Roman" w:eastAsia="Times New Roman" w:hAnsi="Times New Roman" w:cs="Times New Roman"/>
          <w:b/>
          <w:bCs/>
          <w:kern w:val="36"/>
          <w:lang w:eastAsia="tr-TR"/>
        </w:rPr>
        <w:t>Kare Denetim ve Yeminli Mali Müşavirlik Ltd.Şti.</w:t>
      </w:r>
    </w:p>
    <w:p w:rsidR="0075285C" w:rsidRDefault="0075285C" w:rsidP="003234D4"/>
    <w:p w:rsidR="00147418" w:rsidRDefault="00147418" w:rsidP="003234D4"/>
    <w:p w:rsidR="00147418" w:rsidRDefault="00147418" w:rsidP="003234D4"/>
    <w:p w:rsidR="00147418" w:rsidRDefault="00147418" w:rsidP="003234D4"/>
    <w:p w:rsidR="005B6D6F" w:rsidRPr="003234D4" w:rsidRDefault="005B6D6F" w:rsidP="003234D4"/>
    <w:sectPr w:rsidR="005B6D6F" w:rsidRPr="003234D4" w:rsidSect="004608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1417" w:bottom="1417" w:left="1417" w:header="85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1E70" w:rsidRDefault="00311E70" w:rsidP="0075285C">
      <w:pPr>
        <w:spacing w:after="0" w:line="240" w:lineRule="auto"/>
      </w:pPr>
      <w:r>
        <w:separator/>
      </w:r>
    </w:p>
  </w:endnote>
  <w:endnote w:type="continuationSeparator" w:id="0">
    <w:p w:rsidR="00311E70" w:rsidRDefault="00311E70" w:rsidP="007528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8F5" w:rsidRDefault="004608F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7E1" w:rsidRDefault="0057294D">
    <w:pPr>
      <w:pStyle w:val="AltBilgi"/>
    </w:pPr>
    <w:r>
      <w:pict>
        <v:rect id="_x0000_i1025" style="width:453.6pt;height:1.5pt" o:hralign="center" o:hrstd="t" o:hr="t" fillcolor="#a0a0a0" stroked="f"/>
      </w:pict>
    </w:r>
  </w:p>
  <w:p w:rsidR="0075285C" w:rsidRDefault="003B27E1">
    <w:pPr>
      <w:pStyle w:val="AltBilgi"/>
    </w:pPr>
    <w:r>
      <w:tab/>
      <w:t xml:space="preserve">Bağlar Mh.Osman Paşa Cd.No:3 Avrasya Plaza A Blok K:4/1-B  Güneşli-Bağcılar-İSTANBUL </w:t>
    </w:r>
  </w:p>
  <w:p w:rsidR="003B27E1" w:rsidRDefault="003B27E1">
    <w:pPr>
      <w:pStyle w:val="AltBilgi"/>
    </w:pPr>
    <w:r>
      <w:t xml:space="preserve">                            Tel : 0212 657 65 40-41</w:t>
    </w:r>
    <w:r>
      <w:tab/>
      <w:t xml:space="preserve">                                        Faks : 0212 657 65 39</w:t>
    </w:r>
  </w:p>
  <w:p w:rsidR="003B27E1" w:rsidRDefault="003F6B08">
    <w:pPr>
      <w:pStyle w:val="AltBilgi"/>
    </w:pPr>
    <w:r>
      <w:t xml:space="preserve">                            </w:t>
    </w:r>
    <w:r w:rsidR="003B27E1">
      <w:t>Web :</w:t>
    </w:r>
    <w:r w:rsidR="00371F60">
      <w:t>www.</w:t>
    </w:r>
    <w:r w:rsidR="003B27E1">
      <w:t>karedene</w:t>
    </w:r>
    <w:r>
      <w:t xml:space="preserve">tim.com     </w:t>
    </w:r>
    <w:r w:rsidR="00371F60">
      <w:t xml:space="preserve"> </w:t>
    </w:r>
    <w:r>
      <w:t xml:space="preserve">                       e-mail : info@karedenetim.com</w:t>
    </w:r>
    <w:r w:rsidR="003B27E1">
      <w:tab/>
    </w:r>
  </w:p>
  <w:p w:rsidR="003B27E1" w:rsidRDefault="003B27E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8F5" w:rsidRDefault="004608F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1E70" w:rsidRDefault="00311E70" w:rsidP="0075285C">
      <w:pPr>
        <w:spacing w:after="0" w:line="240" w:lineRule="auto"/>
      </w:pPr>
      <w:r>
        <w:separator/>
      </w:r>
    </w:p>
  </w:footnote>
  <w:footnote w:type="continuationSeparator" w:id="0">
    <w:p w:rsidR="00311E70" w:rsidRDefault="00311E70" w:rsidP="007528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8F5" w:rsidRDefault="004608F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4690" w:rsidRDefault="004608F5">
    <w:pPr>
      <w:pStyle w:val="stBilgi"/>
    </w:pPr>
    <w:r>
      <w:rPr>
        <w:noProof/>
        <w:lang w:eastAsia="tr-TR"/>
      </w:rPr>
      <w:drawing>
        <wp:inline distT="0" distB="0" distL="0" distR="0">
          <wp:extent cx="1618682" cy="583114"/>
          <wp:effectExtent l="19050" t="0" r="568" b="0"/>
          <wp:docPr id="2" name="Resim 2" descr="\\bdddc02\yeminli\İNTERNET SİTE ÇALIŞMASI\SİRKÜLERLER\kare_denetim_logok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bdddc02\yeminli\İNTERNET SİTE ÇALIŞMASI\SİRKÜLERLER\kare_denetim_logokck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8682" cy="58311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371F60">
      <w:ptab w:relativeTo="margin" w:alignment="right" w:leader="none"/>
    </w:r>
  </w:p>
  <w:p w:rsidR="002D4690" w:rsidRDefault="002D4690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8F5" w:rsidRDefault="004608F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62A4"/>
    <w:rsid w:val="00084120"/>
    <w:rsid w:val="00147418"/>
    <w:rsid w:val="001950C8"/>
    <w:rsid w:val="001A6DB9"/>
    <w:rsid w:val="001C2D2C"/>
    <w:rsid w:val="001C53A0"/>
    <w:rsid w:val="00234BD7"/>
    <w:rsid w:val="002D4690"/>
    <w:rsid w:val="00311E70"/>
    <w:rsid w:val="003234D4"/>
    <w:rsid w:val="00371F60"/>
    <w:rsid w:val="003B27E1"/>
    <w:rsid w:val="003F6B08"/>
    <w:rsid w:val="00451AFD"/>
    <w:rsid w:val="004608F5"/>
    <w:rsid w:val="005045C0"/>
    <w:rsid w:val="0057294D"/>
    <w:rsid w:val="005B6D6F"/>
    <w:rsid w:val="005E3B10"/>
    <w:rsid w:val="006662A4"/>
    <w:rsid w:val="007454BB"/>
    <w:rsid w:val="0075285C"/>
    <w:rsid w:val="00873646"/>
    <w:rsid w:val="00941C57"/>
    <w:rsid w:val="00B94969"/>
    <w:rsid w:val="00BD06A8"/>
    <w:rsid w:val="00C06156"/>
    <w:rsid w:val="00C73CDB"/>
    <w:rsid w:val="00CA39AB"/>
    <w:rsid w:val="00DD5C20"/>
    <w:rsid w:val="00EB5933"/>
    <w:rsid w:val="00F02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  <w14:docId w14:val="33021842"/>
  <w15:docId w15:val="{DA80BDF7-CBD2-46EB-9A50-0D0E83025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51AFD"/>
  </w:style>
  <w:style w:type="paragraph" w:styleId="Balk1">
    <w:name w:val="heading 1"/>
    <w:basedOn w:val="Normal"/>
    <w:next w:val="Normal"/>
    <w:link w:val="Balk1Char"/>
    <w:uiPriority w:val="9"/>
    <w:qFormat/>
    <w:rsid w:val="001C53A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1C53A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C53A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662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662A4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1C53A0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1C53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1C53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C53A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75285C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 Not Metni Char"/>
    <w:basedOn w:val="VarsaylanParagrafYazTipi"/>
    <w:link w:val="SonNotMetni"/>
    <w:uiPriority w:val="99"/>
    <w:semiHidden/>
    <w:rsid w:val="0075285C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75285C"/>
    <w:rPr>
      <w:vertAlign w:val="superscript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75285C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75285C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75285C"/>
    <w:rPr>
      <w:vertAlign w:val="superscript"/>
    </w:rPr>
  </w:style>
  <w:style w:type="paragraph" w:styleId="stBilgi">
    <w:name w:val="header"/>
    <w:basedOn w:val="Normal"/>
    <w:link w:val="stBilgiChar"/>
    <w:uiPriority w:val="99"/>
    <w:unhideWhenUsed/>
    <w:rsid w:val="007528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5285C"/>
  </w:style>
  <w:style w:type="paragraph" w:styleId="AltBilgi">
    <w:name w:val="footer"/>
    <w:basedOn w:val="Normal"/>
    <w:link w:val="AltBilgiChar"/>
    <w:uiPriority w:val="99"/>
    <w:unhideWhenUsed/>
    <w:rsid w:val="007528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5285C"/>
  </w:style>
  <w:style w:type="paragraph" w:styleId="NormalWeb">
    <w:name w:val="Normal (Web)"/>
    <w:basedOn w:val="Normal"/>
    <w:uiPriority w:val="99"/>
    <w:unhideWhenUsed/>
    <w:rsid w:val="00451AFD"/>
    <w:pPr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GvdeMetniGirintisi"/>
    <w:link w:val="GvdeMetniChar"/>
    <w:rsid w:val="001A6DB9"/>
    <w:pPr>
      <w:spacing w:line="240" w:lineRule="auto"/>
    </w:pPr>
    <w:rPr>
      <w:rFonts w:ascii="Times New Roman" w:eastAsia="Times New Roman" w:hAnsi="Times New Roman" w:cs="Times New Roman"/>
      <w:szCs w:val="20"/>
      <w:lang w:val="en-AU" w:eastAsia="zh-CN"/>
    </w:rPr>
  </w:style>
  <w:style w:type="character" w:customStyle="1" w:styleId="GvdeMetniChar">
    <w:name w:val="Gövde Metni Char"/>
    <w:basedOn w:val="VarsaylanParagrafYazTipi"/>
    <w:link w:val="GvdeMetni"/>
    <w:rsid w:val="001A6DB9"/>
    <w:rPr>
      <w:rFonts w:ascii="Times New Roman" w:eastAsia="Times New Roman" w:hAnsi="Times New Roman" w:cs="Times New Roman"/>
      <w:szCs w:val="20"/>
      <w:lang w:val="en-AU" w:eastAsia="zh-CN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1A6DB9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1A6D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9C6527-0B16-4147-8BA9-4C5A45F81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muh-6</dc:creator>
  <cp:lastModifiedBy>Ercan Denkçi</cp:lastModifiedBy>
  <cp:revision>8</cp:revision>
  <cp:lastPrinted>2015-07-22T07:47:00Z</cp:lastPrinted>
  <dcterms:created xsi:type="dcterms:W3CDTF">2015-07-22T07:51:00Z</dcterms:created>
  <dcterms:modified xsi:type="dcterms:W3CDTF">2017-03-21T08:11:00Z</dcterms:modified>
</cp:coreProperties>
</file>